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3685" w:type="dxa"/>
        <w:tblInd w:w="11482" w:type="dxa"/>
        <w:tblLook w:val="04A0" w:firstRow="1" w:lastRow="0" w:firstColumn="1" w:lastColumn="0" w:noHBand="0" w:noVBand="1"/>
      </w:tblPr>
      <w:tblGrid>
        <w:gridCol w:w="3685"/>
      </w:tblGrid>
      <w:tr>
        <w:tblPrEx/>
        <w:trPr>
          <w:trHeight w:val="1211"/>
        </w:trPr>
        <w:tc>
          <w:tcPr>
            <w:shd w:val="clear" w:color="auto" w:fill="auto"/>
            <w:tcW w:w="368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Приложение 11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к постановлению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Администрации ЗАТО Северск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901"/>
              <w:jc w:val="both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 № __________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0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90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tbl>
      <w:tblPr>
        <w:tblStyle w:val="757"/>
        <w:tblW w:w="15083" w:type="dxa"/>
        <w:tblInd w:w="-186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1984"/>
        <w:gridCol w:w="992"/>
        <w:gridCol w:w="1448"/>
        <w:gridCol w:w="948"/>
        <w:gridCol w:w="763"/>
        <w:gridCol w:w="1376"/>
        <w:gridCol w:w="709"/>
        <w:gridCol w:w="1276"/>
        <w:gridCol w:w="3685"/>
        <w:gridCol w:w="1149"/>
      </w:tblGrid>
      <w:tr>
        <w:tblPrEx/>
        <w:trPr>
          <w:trHeight w:val="35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53" w:type="dxa"/>
            <w:vMerge w:val="restart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«2.1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КПМ «Уплата в федеральный бюджет налога на добавленную стоимость (НДС) с доходов, полученных от реализации и использования имущества, составляющего муниципальную казну ЗАТО Северск»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448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4 991,36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48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63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376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4 991,36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ind w:right="-15"/>
              <w:jc w:val="right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276" w:type="dxa"/>
            <w:vMerge w:val="restart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Управ-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ление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имущест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-венных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отноше-ний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Адми-нистра-ции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ЗАТО Северск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X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X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136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2025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448" w:type="dxa"/>
            <w:vMerge w:val="restart"/>
            <w:textDirection w:val="lrTb"/>
            <w:noWrap w:val="false"/>
          </w:tcPr>
          <w:p>
            <w:pPr>
              <w:jc w:val="right"/>
              <w:tabs>
                <w:tab w:val="left" w:pos="0" w:leader="none"/>
              </w:tabs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1 335,18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48" w:type="dxa"/>
            <w:vMerge w:val="restart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63" w:type="dxa"/>
            <w:vMerge w:val="restart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376" w:type="dxa"/>
            <w:vMerge w:val="restart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1 335,18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09" w:type="dxa"/>
            <w:vMerge w:val="restart"/>
            <w:textDirection w:val="lrTb"/>
            <w:noWrap w:val="false"/>
          </w:tcPr>
          <w:p>
            <w:pPr>
              <w:jc w:val="right"/>
              <w:tabs>
                <w:tab w:val="left" w:pos="0" w:leader="none"/>
              </w:tabs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1. Количество объектов недвижимого и движимого имущества, проданных физическим лицам, не зарегистрированным в качестве индивидуальных предпринимателей,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ед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11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Merge w:val="continue"/>
            <w:textDirection w:val="lrTb"/>
            <w:noWrap w:val="false"/>
          </w:tcPr>
          <w:p>
            <w:pPr>
              <w:tabs>
                <w:tab w:val="left" w:pos="977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376" w:type="dxa"/>
            <w:vMerge w:val="continue"/>
            <w:textDirection w:val="lrTb"/>
            <w:noWrap w:val="false"/>
          </w:tcPr>
          <w:p>
            <w:pPr>
              <w:ind w:right="1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2. Доходы от приватизации и использования муниципального имущества ЗАТО Северск, облагаемые НДС,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тыс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руб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8011,05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13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2026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1448" w:type="dxa"/>
            <w:vMerge w:val="restart"/>
            <w:textDirection w:val="lrTb"/>
            <w:noWrap w:val="false"/>
          </w:tcPr>
          <w:p>
            <w:pPr>
              <w:ind w:right="-115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1 958,58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948" w:type="dxa"/>
            <w:vMerge w:val="restart"/>
            <w:textDirection w:val="lrTb"/>
            <w:noWrap w:val="false"/>
          </w:tcPr>
          <w:p>
            <w:pPr>
              <w:ind w:right="-111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763" w:type="dxa"/>
            <w:vMerge w:val="restart"/>
            <w:textDirection w:val="lrTb"/>
            <w:noWrap w:val="false"/>
          </w:tcPr>
          <w:p>
            <w:pPr>
              <w:ind w:right="-114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1376" w:type="dxa"/>
            <w:vMerge w:val="restart"/>
            <w:textDirection w:val="lrTb"/>
            <w:noWrap w:val="false"/>
          </w:tcPr>
          <w:p>
            <w:pPr>
              <w:ind w:right="-108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1 958,58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right w:val="single" w:color="auto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right="-105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1. Количество объектов недвижимого и движимого имущества, проданных физическим лицам, не зарегистрированным в качестве индивидуальных предпринимателей,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ед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auto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  <w:p>
            <w:pPr>
              <w:jc w:val="right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111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Merge w:val="continue"/>
            <w:textDirection w:val="lrTb"/>
            <w:noWrap w:val="false"/>
          </w:tcPr>
          <w:p>
            <w:pPr>
              <w:ind w:right="-9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376" w:type="dxa"/>
            <w:vMerge w:val="continue"/>
            <w:textDirection w:val="lrTb"/>
            <w:noWrap w:val="false"/>
          </w:tcPr>
          <w:p>
            <w:pPr>
              <w:ind w:right="1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auto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2. Доходы от приватизации и использования муниципального имущества ЗАТО Северск, облагаемые НДС,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тыс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руб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10185,59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56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2027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1448" w:type="dxa"/>
            <w:vMerge w:val="restart"/>
            <w:textDirection w:val="lrTb"/>
            <w:noWrap w:val="false"/>
          </w:tcPr>
          <w:p>
            <w:pPr>
              <w:ind w:right="-115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1 697,60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948" w:type="dxa"/>
            <w:vMerge w:val="restart"/>
            <w:textDirection w:val="lrTb"/>
            <w:noWrap w:val="false"/>
          </w:tcPr>
          <w:p>
            <w:pPr>
              <w:ind w:right="-111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763" w:type="dxa"/>
            <w:vMerge w:val="restart"/>
            <w:textDirection w:val="lrTb"/>
            <w:noWrap w:val="false"/>
          </w:tcPr>
          <w:p>
            <w:pPr>
              <w:ind w:right="-114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1376" w:type="dxa"/>
            <w:vMerge w:val="restart"/>
            <w:textDirection w:val="lrTb"/>
            <w:noWrap w:val="false"/>
          </w:tcPr>
          <w:p>
            <w:pPr>
              <w:ind w:right="-108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1 697,60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ind w:right="-105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1. Количество объектов недвижимого и движимого имущества, проданных физическим лицам, не зарегистрированным в качестве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индивидуальных предпринимателей,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ед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92" w:type="dxa"/>
            <w:vMerge w:val="continue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448" w:type="dxa"/>
            <w:vMerge w:val="continue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48" w:type="dxa"/>
            <w:vMerge w:val="continue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63" w:type="dxa"/>
            <w:vMerge w:val="continue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376" w:type="dxa"/>
            <w:vMerge w:val="continue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09" w:type="dxa"/>
            <w:vMerge w:val="continue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2. Доходы от приватизации и использования муниципального имущества ЗАТО Северск, облагаемые НДС,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тыс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руб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10185,59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140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2028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  <w:p>
            <w:pPr>
              <w:jc w:val="center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прог-нозный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период)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448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1 697,60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48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63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376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1 697,60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09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1. Количество объектов недвижимого и движимого имущества, проданных физическим лицам, не зарегистрированным в качестве индивидуальных предпринимателей,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ед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112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3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2. Доходы от приватизации и использования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муниципального имущества ЗАТО Северск, облагаемые НДС,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тыс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руб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10185,59»;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53" w:type="dxa"/>
            <w:vMerge w:val="restart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«Итого по подпрограмме 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448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12 682,51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48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63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376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12 682,51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276" w:type="dxa"/>
            <w:vMerge w:val="restart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X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X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79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2025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448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3 014,83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48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63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376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3 014,83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09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1. Количество объектов недвижимого имущества, переданных в оперативное управление за год,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ед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43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165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3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2. Площадь земельных участков, являющихся объектами налогообложения земельным налогом (находящихся в собственности, владении или пользовании юридических и физических лиц), га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6572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8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2026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448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4 964,33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48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63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376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4 964,33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09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1. Количество объектов недвижимого имущества, переданных в оперативное управление за год,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ед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140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1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9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76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13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auto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2. Площадь земельных участков, являющихся объектами налогообложения земельным налогом (находящихся в собственности, владении или пользовании юридических и физических лиц), га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auto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6574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6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2027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448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4 703,35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48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63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376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4 703,35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09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1. Количество объектов недвижимого имущества, переданных в оперативное управление за год,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ед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53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92" w:type="dxa"/>
            <w:vMerge w:val="continue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448" w:type="dxa"/>
            <w:vMerge w:val="continue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48" w:type="dxa"/>
            <w:vMerge w:val="continue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63" w:type="dxa"/>
            <w:vMerge w:val="continue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376" w:type="dxa"/>
            <w:vMerge w:val="continue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09" w:type="dxa"/>
            <w:vMerge w:val="continue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2. Площадь земельных участков, являющихся объектами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налогообложения земельным налогом (находящихся в собственности, владении или пользовании юридических и физических лиц), га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6577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82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2028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  <w:p>
            <w:pPr>
              <w:jc w:val="center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прог-нозный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период)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448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4 703,35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48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63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376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4 703,35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09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1. Количество объектов недвижимого имущества, переданных в оперативное управление за год,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ед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199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3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2. Площадь земельных участков, являющихся объектами налогообложения земельным налогом (находящихся в собственности, владении или пользовании юридических и физических лиц), га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6577»;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820"/>
        </w:trPr>
        <w:tc>
          <w:tcPr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53" w:type="dxa"/>
            <w:vMerge w:val="restart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«3.1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Проект «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Капитальный ремонт нежилых объектов административно-хозяйственного назначения» (с 01.01.2026)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auto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auto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448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13 786,58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auto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48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auto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63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auto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376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13 786,58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auto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276" w:type="dxa"/>
            <w:vMerge w:val="restart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УКС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Адми-нистра-ции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ЗАТО Северск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auto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X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auto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X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10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2026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448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14 385,58 &lt;*&gt;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48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63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376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14 385,58 &lt;*&gt;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09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1. Количество утвержденной и проверенной проектно-сметной документации по итогам обследований,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ед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54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3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2. Количество выполненных капитальных ремонтов,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ед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10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2027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448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48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63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376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09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1. Количество утвержденной и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проверенной проектно-сметной документации по итогам обследований,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ед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55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3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2. Количество выполненных капитальных ремонтов,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ед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11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2028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  <w:p>
            <w:pPr>
              <w:jc w:val="center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прог-нозный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период)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448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48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63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376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09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1. Количество утвержденной и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проверенной проектно-сметной документации по итогам обследований,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ед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56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1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9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76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13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2. Количество выполненных капитальных ремонтов,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ед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53" w:type="dxa"/>
            <w:vMerge w:val="restart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Итого по подпрограмме 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448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162 176,71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48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63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376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162 176,71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276" w:type="dxa"/>
            <w:vMerge w:val="restart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X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X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135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2025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448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26 666,40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48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63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376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26 666,40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09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1. Количество объектов муниципальной собственности, по которым осуществляются расходы на содержание и обслуживание имущества,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ед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22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137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8" w:type="dxa"/>
            <w:vMerge w:val="continue"/>
            <w:textDirection w:val="lrTb"/>
            <w:noWrap w:val="false"/>
          </w:tcPr>
          <w:p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8" w:type="dxa"/>
            <w:vMerge w:val="continue"/>
            <w:textDirection w:val="lrTb"/>
            <w:noWrap w:val="false"/>
          </w:tcPr>
          <w:p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3" w:type="dxa"/>
            <w:vMerge w:val="continue"/>
            <w:textDirection w:val="lrTb"/>
            <w:noWrap w:val="false"/>
          </w:tcPr>
          <w:p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6" w:type="dxa"/>
            <w:vMerge w:val="continue"/>
            <w:textDirection w:val="lrTb"/>
            <w:noWrap w:val="false"/>
          </w:tcPr>
          <w:p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2. Количество объектов муниципального нежилого фонда, по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которым начислена (произведена) оплата взносов на капитальный ремонт региональному оператору,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ед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93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82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8" w:type="dxa"/>
            <w:vMerge w:val="continue"/>
            <w:textDirection w:val="lrTb"/>
            <w:noWrap w:val="false"/>
          </w:tcPr>
          <w:p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8" w:type="dxa"/>
            <w:vMerge w:val="continue"/>
            <w:textDirection w:val="lrTb"/>
            <w:noWrap w:val="false"/>
          </w:tcPr>
          <w:p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3" w:type="dxa"/>
            <w:vMerge w:val="continue"/>
            <w:textDirection w:val="lrTb"/>
            <w:noWrap w:val="false"/>
          </w:tcPr>
          <w:p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6" w:type="dxa"/>
            <w:vMerge w:val="continue"/>
            <w:textDirection w:val="lrTb"/>
            <w:noWrap w:val="false"/>
          </w:tcPr>
          <w:p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3. Количество объектов муниципальной собственности, введенных в эксплуатацию,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ед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140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2026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448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83 289,69 &lt;*&gt;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48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63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376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83 289,69 &lt;*&gt;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09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1. Количество объектов муниципальной собственности, по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которым осуществляются расходы на содержание и обслуживание имущества,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ед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34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140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8" w:type="dxa"/>
            <w:vMerge w:val="continue"/>
            <w:textDirection w:val="lrTb"/>
            <w:noWrap w:val="false"/>
          </w:tcPr>
          <w:p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8" w:type="dxa"/>
            <w:vMerge w:val="continue"/>
            <w:textDirection w:val="lrTb"/>
            <w:noWrap w:val="false"/>
          </w:tcPr>
          <w:p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3" w:type="dxa"/>
            <w:vMerge w:val="continue"/>
            <w:textDirection w:val="lrTb"/>
            <w:noWrap w:val="false"/>
          </w:tcPr>
          <w:p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6" w:type="dxa"/>
            <w:vMerge w:val="continue"/>
            <w:textDirection w:val="lrTb"/>
            <w:noWrap w:val="false"/>
          </w:tcPr>
          <w:p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2. Количество объектов муниципального нежилого фонда, по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которым начислена (произведена) оплата взносов на капитальный ремонт региональному оператору,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ед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56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2027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448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52 819,62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48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63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376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52 819,62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09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1. Количество объектов муниципальной собственности, по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которым осуществляются расходы на содержание и обслуживание имущества,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ед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24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140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2. Количество объектов муниципального нежилого фонда, по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которым начислена (произведена) оплата взносов на капитальный ремонт региональному оператору,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ед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138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2028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  <w:p>
            <w:pPr>
              <w:jc w:val="center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прог-нозный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период)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448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52 819,62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48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63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376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52 819,62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09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1. Количество объектов муниципальной собственности, по которым осуществляются расходы на содержание и обслуживание имущества,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ед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24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141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1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9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76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13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2. Количество объектов муниципального нежилого фонда, по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которым начислена (произведена) оплата взносов на капитальный ремонт региональному оператору,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ед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100»;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53" w:type="dxa"/>
            <w:vMerge w:val="restart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«Итого по Программе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448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455 958,82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48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104,30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63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376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455 854,52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276" w:type="dxa"/>
            <w:vMerge w:val="restart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X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X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183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2025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448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120 666,89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48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10</w:t>
            </w:r>
            <w:bookmarkStart w:id="0" w:name="_GoBack"/>
            <w:r/>
            <w:bookmarkEnd w:id="0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4,30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63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376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120 562,59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09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1. Доля объектов недвижимости, прошедших государственную регистрацию права собственности, от общего количества объектов недвижимости, числящихся в Реестре муниципального имущества ЗАТО Северск и подлежащих регистрации,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проц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93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138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92" w:type="dxa"/>
            <w:vMerge w:val="continue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448" w:type="dxa"/>
            <w:vMerge w:val="continue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48" w:type="dxa"/>
            <w:vMerge w:val="continue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63" w:type="dxa"/>
            <w:vMerge w:val="continue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376" w:type="dxa"/>
            <w:vMerge w:val="continue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09" w:type="dxa"/>
            <w:vMerge w:val="continue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2. Доля площади земельных участков, являющихся объектами налогообложения земельным налогом, в общей площади территории городского округа,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проц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54,26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82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92" w:type="dxa"/>
            <w:vMerge w:val="continue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448" w:type="dxa"/>
            <w:vMerge w:val="continue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48" w:type="dxa"/>
            <w:vMerge w:val="continue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63" w:type="dxa"/>
            <w:vMerge w:val="continue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376" w:type="dxa"/>
            <w:vMerge w:val="continue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09" w:type="dxa"/>
            <w:vMerge w:val="continue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3. Снижение задолженности по арендной плате за пользование земельными участками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83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и муниципальным имуществом по сравнению с 1 января предыдущего года,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проц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51"/>
        </w:trPr>
        <w:tc>
          <w:tcPr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1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9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76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13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4. Объем воспроизводства лесов, га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67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2026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448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188 493,41 &lt;*&gt;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48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63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376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188 493,41 &lt;*&gt;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09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1. Доля объектов недвижимости, прошедших государственную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регистрацию права собственности, от общего количества объектов недвижимости, числящихся в Реестре муниципального имущества ЗАТО Северск и подлежащих регистрации,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проц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94,5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99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92" w:type="dxa"/>
            <w:vMerge w:val="continue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448" w:type="dxa"/>
            <w:vMerge w:val="continue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48" w:type="dxa"/>
            <w:vMerge w:val="continue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63" w:type="dxa"/>
            <w:vMerge w:val="continue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376" w:type="dxa"/>
            <w:vMerge w:val="continue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09" w:type="dxa"/>
            <w:vMerge w:val="continue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2. Доля площади земельных участков, являющихся объектами налогообложения земельным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54,28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right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8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3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налогом, в общей площади территории городского округа,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проц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169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3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3. Снижение задолженности по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арендной плате за пользование земельными участками и муниципальным имуществом по сравнению с 1 января предыдущего года,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проц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30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7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1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9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76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13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4. Объем воспроизводства лесов, га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6,8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37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2027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448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147 397,52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48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63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376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147 397,52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09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1. Доля объектов недвижимости, прошедших государственную регистрацию права собственности, от общего количества объектов недвижимости, числящихся в Реестре муниципального имущества ЗАТО Северск и подлежащих регистрации,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проц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95,5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181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2. Доля площади земельных участков, являющихся объектами налогообложения земельным налогом, в общей площади территории городского округа,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проц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54,3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167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3. Снижение задолженности по арендной плате за пользование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земельными участками и муниципальным имуществом по сравнению с 1 января предыдущего года,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проц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30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4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1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9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76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13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4. Объем воспроизводства лесов, га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6,8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223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line="57" w:lineRule="atLeas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2028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</w:p>
          <w:p>
            <w:pPr>
              <w:jc w:val="center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прог-нозный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период)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448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147 933,56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948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63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376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147 933,56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09" w:type="dxa"/>
            <w:vMerge w:val="restart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0,00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1. Доля объектов недвижимости, прошедших государственную регистрацию права собственности, от общего количества объектов недвижимости, числящихся в Реестре муниципального имущества ЗАТО Северск и подлежащих регистрации,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проц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96,5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14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6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3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2. Доля площади земельных участков, являющихся объектами налогообложения земельным налогом, в общей площади территории городского округа,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проц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54,3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98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1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9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76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13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auto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3. Снижение задолженности по арендной плате за пользование земельными участками и муниципальным имуществом по сравнению с 1 января предыдущего года,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проц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auto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30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992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1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9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76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13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70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685" w:type="dxa"/>
            <w:textDirection w:val="lrTb"/>
            <w:noWrap w:val="false"/>
          </w:tcPr>
          <w:p>
            <w:pPr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4. Объем воспроизводства лесов, га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49" w:type="dxa"/>
            <w:textDirection w:val="lrTb"/>
            <w:noWrap w:val="false"/>
          </w:tcPr>
          <w:p>
            <w:pPr>
              <w:jc w:val="right"/>
              <w:spacing w:line="57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6,6»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tabs>
          <w:tab w:val="left" w:pos="2175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sectPr>
      <w:headerReference w:type="default" r:id="rId8"/>
      <w:footerReference w:type="default" r:id="rId9"/>
      <w:footerReference w:type="first" r:id="rId10"/>
      <w:footnotePr/>
      <w:endnotePr/>
      <w:type w:val="nextPage"/>
      <w:pgSz w:w="16838" w:h="11906" w:orient="landscape"/>
      <w:pgMar w:top="1418" w:right="1134" w:bottom="567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Segoe UI">
    <w:panose1 w:val="020B0502040204020203"/>
  </w:font>
  <w:font w:name="Arial">
    <w:panose1 w:val="020B0604020202020204"/>
  </w:font>
  <w:font w:name="Liberation Sans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3"/>
      <w:tabs>
        <w:tab w:val="clear" w:pos="4677" w:leader="none"/>
        <w:tab w:val="clear" w:pos="9355" w:leader="none"/>
      </w:tabs>
      <w:rPr>
        <w:rFonts w:ascii="Times New Roman" w:hAnsi="Times New Roman"/>
        <w:sz w:val="20"/>
        <w:szCs w:val="20"/>
        <w14:ligatures w14:val="none"/>
      </w:rPr>
    </w:pPr>
    <w:r>
      <w:rPr>
        <w:rFonts w:ascii="Times New Roman" w:hAnsi="Times New Roman"/>
        <w:sz w:val="20"/>
        <w:szCs w:val="20"/>
      </w:rPr>
      <w:t xml:space="preserve">Внутренний но</w:t>
    </w:r>
    <w:r>
      <w:rPr>
        <w:rFonts w:ascii="Times New Roman" w:hAnsi="Times New Roman"/>
        <w:sz w:val="20"/>
        <w:szCs w:val="20"/>
      </w:rPr>
      <w:t xml:space="preserve">мер: </w:t>
    </w:r>
    <w:r>
      <w:rPr>
        <w:rFonts w:ascii="Times New Roman" w:hAnsi="Times New Roman"/>
        <w:sz w:val="20"/>
        <w:szCs w:val="20"/>
      </w:rPr>
      <w:t xml:space="preserve">0378777</w:t>
    </w:r>
    <w:r>
      <w:rPr>
        <w:rFonts w:ascii="Times New Roman" w:hAnsi="Times New Roman"/>
        <w:sz w:val="20"/>
        <w:szCs w:val="20"/>
        <w14:ligatures w14:val="none"/>
      </w:rPr>
    </w:r>
    <w:r>
      <w:rPr>
        <w:rFonts w:ascii="Times New Roman" w:hAnsi="Times New Roman"/>
        <w:sz w:val="20"/>
        <w:szCs w:val="20"/>
        <w14:ligatures w14:val="none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3"/>
      <w:tabs>
        <w:tab w:val="clear" w:pos="4677" w:leader="none"/>
        <w:tab w:val="clear" w:pos="9355" w:leader="none"/>
      </w:tabs>
      <w:rPr>
        <w:rFonts w:ascii="Times New Roman" w:hAnsi="Times New Roman"/>
        <w:sz w:val="20"/>
        <w:szCs w:val="20"/>
        <w14:ligatures w14:val="none"/>
      </w:rPr>
    </w:pPr>
    <w:r>
      <w:rPr>
        <w:rFonts w:ascii="Times New Roman" w:hAnsi="Times New Roman"/>
        <w:sz w:val="20"/>
        <w:szCs w:val="20"/>
      </w:rPr>
      <w:t xml:space="preserve">Внутренний но</w:t>
    </w:r>
    <w:r>
      <w:rPr>
        <w:rFonts w:ascii="Times New Roman" w:hAnsi="Times New Roman"/>
        <w:sz w:val="20"/>
        <w:szCs w:val="20"/>
      </w:rPr>
      <w:t xml:space="preserve">мер: </w:t>
    </w:r>
    <w:r>
      <w:rPr>
        <w:rFonts w:ascii="Times New Roman" w:hAnsi="Times New Roman"/>
        <w:sz w:val="20"/>
        <w:szCs w:val="20"/>
      </w:rPr>
      <w:t xml:space="preserve">0378777</w:t>
    </w:r>
    <w:r>
      <w:rPr>
        <w:rFonts w:ascii="Times New Roman" w:hAnsi="Times New Roman"/>
        <w:sz w:val="20"/>
        <w:szCs w:val="20"/>
        <w14:ligatures w14:val="none"/>
      </w:rPr>
    </w:r>
    <w:r>
      <w:rPr>
        <w:rFonts w:ascii="Times New Roman" w:hAnsi="Times New Roman"/>
        <w:sz w:val="20"/>
        <w:szCs w:val="20"/>
        <w14:ligatures w14:val="none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787462736"/>
      <w:docPartObj>
        <w:docPartGallery w:val="Page Numbers (Top of Page)"/>
        <w:docPartUnique w:val="true"/>
      </w:docPartObj>
      <w:rPr>
        <w:rFonts w:ascii="Times New Roman" w:hAnsi="Times New Roman"/>
      </w:rPr>
    </w:sdtPr>
    <w:sdtContent>
      <w:p>
        <w:pPr>
          <w:pStyle w:val="911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  <w:sz w:val="24"/>
            <w:szCs w:val="24"/>
          </w:rPr>
          <w:fldChar w:fldCharType="begin"/>
        </w:r>
        <w:r>
          <w:rPr>
            <w:rFonts w:ascii="Times New Roman" w:hAnsi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sz w:val="24"/>
            <w:szCs w:val="24"/>
          </w:rPr>
          <w:t xml:space="preserve">2</w:t>
        </w:r>
        <w:r>
          <w:rPr>
            <w:rFonts w:ascii="Times New Roman" w:hAnsi="Times New Roman"/>
            <w:sz w:val="24"/>
            <w:szCs w:val="24"/>
          </w:rPr>
          <w:fldChar w:fldCharType="end"/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5" w:default="1">
    <w:name w:val="Normal"/>
    <w:qFormat/>
    <w:rPr>
      <w:rFonts w:ascii="Calibri" w:hAnsi="Calibri" w:eastAsia="Calibri" w:cs="Times New Roman"/>
    </w:rPr>
  </w:style>
  <w:style w:type="paragraph" w:styleId="706">
    <w:name w:val="Heading 1"/>
    <w:basedOn w:val="705"/>
    <w:next w:val="705"/>
    <w:link w:val="734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707">
    <w:name w:val="Heading 2"/>
    <w:basedOn w:val="705"/>
    <w:next w:val="705"/>
    <w:link w:val="735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708">
    <w:name w:val="Heading 3"/>
    <w:basedOn w:val="705"/>
    <w:next w:val="705"/>
    <w:link w:val="736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709">
    <w:name w:val="Heading 4"/>
    <w:basedOn w:val="705"/>
    <w:next w:val="705"/>
    <w:link w:val="737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710">
    <w:name w:val="Heading 5"/>
    <w:basedOn w:val="705"/>
    <w:next w:val="705"/>
    <w:link w:val="738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711">
    <w:name w:val="Heading 6"/>
    <w:basedOn w:val="705"/>
    <w:next w:val="705"/>
    <w:link w:val="739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</w:rPr>
  </w:style>
  <w:style w:type="paragraph" w:styleId="712">
    <w:name w:val="Heading 7"/>
    <w:basedOn w:val="705"/>
    <w:next w:val="705"/>
    <w:link w:val="740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</w:rPr>
  </w:style>
  <w:style w:type="paragraph" w:styleId="713">
    <w:name w:val="Heading 8"/>
    <w:basedOn w:val="705"/>
    <w:next w:val="705"/>
    <w:link w:val="741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</w:rPr>
  </w:style>
  <w:style w:type="paragraph" w:styleId="714">
    <w:name w:val="Heading 9"/>
    <w:basedOn w:val="705"/>
    <w:next w:val="705"/>
    <w:link w:val="742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15" w:default="1">
    <w:name w:val="Default Paragraph Font"/>
    <w:uiPriority w:val="1"/>
    <w:semiHidden/>
    <w:unhideWhenUsed/>
  </w:style>
  <w:style w:type="table" w:styleId="71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7" w:default="1">
    <w:name w:val="No List"/>
    <w:uiPriority w:val="99"/>
    <w:semiHidden/>
    <w:unhideWhenUsed/>
  </w:style>
  <w:style w:type="character" w:styleId="718" w:customStyle="1">
    <w:name w:val="Heading 1 Char"/>
    <w:basedOn w:val="715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719" w:customStyle="1">
    <w:name w:val="Heading 2 Char"/>
    <w:basedOn w:val="715"/>
    <w:uiPriority w:val="9"/>
    <w:rPr>
      <w:rFonts w:ascii="Liberation Sans" w:hAnsi="Liberation Sans" w:eastAsia="Liberation Sans" w:cs="Liberation Sans"/>
      <w:sz w:val="34"/>
    </w:rPr>
  </w:style>
  <w:style w:type="character" w:styleId="720" w:customStyle="1">
    <w:name w:val="Heading 3 Char"/>
    <w:basedOn w:val="715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721" w:customStyle="1">
    <w:name w:val="Heading 4 Char"/>
    <w:basedOn w:val="715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22" w:customStyle="1">
    <w:name w:val="Heading 5 Char"/>
    <w:basedOn w:val="715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23" w:customStyle="1">
    <w:name w:val="Heading 6 Char"/>
    <w:basedOn w:val="715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24" w:customStyle="1">
    <w:name w:val="Heading 7 Char"/>
    <w:basedOn w:val="715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25" w:customStyle="1">
    <w:name w:val="Heading 8 Char"/>
    <w:basedOn w:val="715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26" w:customStyle="1">
    <w:name w:val="Heading 9 Char"/>
    <w:basedOn w:val="715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27" w:customStyle="1">
    <w:name w:val="Title Char"/>
    <w:basedOn w:val="715"/>
    <w:uiPriority w:val="10"/>
    <w:rPr>
      <w:sz w:val="48"/>
      <w:szCs w:val="48"/>
    </w:rPr>
  </w:style>
  <w:style w:type="character" w:styleId="728" w:customStyle="1">
    <w:name w:val="Subtitle Char"/>
    <w:basedOn w:val="715"/>
    <w:uiPriority w:val="11"/>
    <w:rPr>
      <w:sz w:val="24"/>
      <w:szCs w:val="24"/>
    </w:rPr>
  </w:style>
  <w:style w:type="character" w:styleId="729" w:customStyle="1">
    <w:name w:val="Quote Char"/>
    <w:uiPriority w:val="29"/>
    <w:rPr>
      <w:i/>
    </w:rPr>
  </w:style>
  <w:style w:type="character" w:styleId="730" w:customStyle="1">
    <w:name w:val="Intense Quote Char"/>
    <w:uiPriority w:val="30"/>
    <w:rPr>
      <w:i/>
    </w:rPr>
  </w:style>
  <w:style w:type="character" w:styleId="731" w:customStyle="1">
    <w:name w:val="Caption Char"/>
    <w:basedOn w:val="715"/>
    <w:uiPriority w:val="35"/>
    <w:rPr>
      <w:b/>
      <w:bCs/>
      <w:color w:val="5b9bd5" w:themeColor="accent1"/>
      <w:sz w:val="18"/>
      <w:szCs w:val="18"/>
    </w:rPr>
  </w:style>
  <w:style w:type="character" w:styleId="732" w:customStyle="1">
    <w:name w:val="Footnote Text Char"/>
    <w:uiPriority w:val="99"/>
    <w:rPr>
      <w:sz w:val="18"/>
    </w:rPr>
  </w:style>
  <w:style w:type="character" w:styleId="733" w:customStyle="1">
    <w:name w:val="Endnote Text Char"/>
    <w:uiPriority w:val="99"/>
    <w:rPr>
      <w:sz w:val="20"/>
    </w:rPr>
  </w:style>
  <w:style w:type="character" w:styleId="734" w:customStyle="1">
    <w:name w:val="Заголовок 1 Знак"/>
    <w:basedOn w:val="715"/>
    <w:link w:val="706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735" w:customStyle="1">
    <w:name w:val="Заголовок 2 Знак"/>
    <w:basedOn w:val="715"/>
    <w:link w:val="707"/>
    <w:uiPriority w:val="9"/>
    <w:rPr>
      <w:rFonts w:ascii="Liberation Sans" w:hAnsi="Liberation Sans" w:eastAsia="Liberation Sans" w:cs="Liberation Sans"/>
      <w:sz w:val="34"/>
    </w:rPr>
  </w:style>
  <w:style w:type="character" w:styleId="736" w:customStyle="1">
    <w:name w:val="Заголовок 3 Знак"/>
    <w:basedOn w:val="715"/>
    <w:link w:val="708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737" w:customStyle="1">
    <w:name w:val="Заголовок 4 Знак"/>
    <w:basedOn w:val="715"/>
    <w:link w:val="709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38" w:customStyle="1">
    <w:name w:val="Заголовок 5 Знак"/>
    <w:basedOn w:val="715"/>
    <w:link w:val="710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39" w:customStyle="1">
    <w:name w:val="Заголовок 6 Знак"/>
    <w:basedOn w:val="715"/>
    <w:link w:val="711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40" w:customStyle="1">
    <w:name w:val="Заголовок 7 Знак"/>
    <w:basedOn w:val="715"/>
    <w:link w:val="712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41" w:customStyle="1">
    <w:name w:val="Заголовок 8 Знак"/>
    <w:basedOn w:val="715"/>
    <w:link w:val="713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42" w:customStyle="1">
    <w:name w:val="Заголовок 9 Знак"/>
    <w:basedOn w:val="715"/>
    <w:link w:val="714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743">
    <w:name w:val="List Paragraph"/>
    <w:basedOn w:val="705"/>
    <w:uiPriority w:val="34"/>
    <w:qFormat/>
    <w:pPr>
      <w:contextualSpacing/>
      <w:ind w:left="720"/>
    </w:pPr>
  </w:style>
  <w:style w:type="paragraph" w:styleId="744">
    <w:name w:val="No Spacing"/>
    <w:uiPriority w:val="1"/>
    <w:qFormat/>
    <w:pPr>
      <w:spacing w:after="0" w:line="240" w:lineRule="auto"/>
    </w:pPr>
  </w:style>
  <w:style w:type="paragraph" w:styleId="745">
    <w:name w:val="Title"/>
    <w:basedOn w:val="705"/>
    <w:next w:val="705"/>
    <w:link w:val="74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6" w:customStyle="1">
    <w:name w:val="Заголовок Знак"/>
    <w:basedOn w:val="715"/>
    <w:link w:val="745"/>
    <w:uiPriority w:val="10"/>
    <w:rPr>
      <w:sz w:val="48"/>
      <w:szCs w:val="48"/>
    </w:rPr>
  </w:style>
  <w:style w:type="paragraph" w:styleId="747">
    <w:name w:val="Subtitle"/>
    <w:basedOn w:val="705"/>
    <w:next w:val="705"/>
    <w:link w:val="748"/>
    <w:uiPriority w:val="11"/>
    <w:qFormat/>
    <w:pPr>
      <w:spacing w:before="200" w:after="200"/>
    </w:pPr>
    <w:rPr>
      <w:sz w:val="24"/>
      <w:szCs w:val="24"/>
    </w:rPr>
  </w:style>
  <w:style w:type="character" w:styleId="748" w:customStyle="1">
    <w:name w:val="Подзаголовок Знак"/>
    <w:basedOn w:val="715"/>
    <w:link w:val="747"/>
    <w:uiPriority w:val="11"/>
    <w:rPr>
      <w:sz w:val="24"/>
      <w:szCs w:val="24"/>
    </w:rPr>
  </w:style>
  <w:style w:type="paragraph" w:styleId="749">
    <w:name w:val="Quote"/>
    <w:basedOn w:val="705"/>
    <w:next w:val="705"/>
    <w:link w:val="750"/>
    <w:uiPriority w:val="29"/>
    <w:qFormat/>
    <w:pPr>
      <w:ind w:left="720" w:right="720"/>
    </w:pPr>
    <w:rPr>
      <w:i/>
    </w:rPr>
  </w:style>
  <w:style w:type="character" w:styleId="750" w:customStyle="1">
    <w:name w:val="Цитата 2 Знак"/>
    <w:link w:val="749"/>
    <w:uiPriority w:val="29"/>
    <w:rPr>
      <w:i/>
    </w:rPr>
  </w:style>
  <w:style w:type="paragraph" w:styleId="751">
    <w:name w:val="Intense Quote"/>
    <w:basedOn w:val="705"/>
    <w:next w:val="705"/>
    <w:link w:val="75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2" w:customStyle="1">
    <w:name w:val="Выделенная цитата Знак"/>
    <w:link w:val="751"/>
    <w:uiPriority w:val="30"/>
    <w:rPr>
      <w:i/>
    </w:rPr>
  </w:style>
  <w:style w:type="character" w:styleId="753" w:customStyle="1">
    <w:name w:val="Header Char"/>
    <w:basedOn w:val="715"/>
    <w:uiPriority w:val="99"/>
  </w:style>
  <w:style w:type="character" w:styleId="754" w:customStyle="1">
    <w:name w:val="Footer Char"/>
    <w:basedOn w:val="715"/>
    <w:uiPriority w:val="99"/>
  </w:style>
  <w:style w:type="paragraph" w:styleId="755">
    <w:name w:val="Caption"/>
    <w:basedOn w:val="705"/>
    <w:next w:val="705"/>
    <w:link w:val="756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56" w:customStyle="1">
    <w:name w:val="Название объекта Знак"/>
    <w:basedOn w:val="715"/>
    <w:link w:val="755"/>
    <w:uiPriority w:val="35"/>
    <w:rPr>
      <w:b/>
      <w:bCs/>
      <w:color w:val="5b9bd5" w:themeColor="accent1"/>
      <w:sz w:val="18"/>
      <w:szCs w:val="18"/>
    </w:rPr>
  </w:style>
  <w:style w:type="table" w:styleId="757">
    <w:name w:val="Table Grid"/>
    <w:basedOn w:val="716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58" w:customStyle="1">
    <w:name w:val="Table Grid Light"/>
    <w:basedOn w:val="716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59">
    <w:name w:val="Plain Table 1"/>
    <w:basedOn w:val="716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60">
    <w:name w:val="Plain Table 2"/>
    <w:basedOn w:val="716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61">
    <w:name w:val="Plain Table 3"/>
    <w:basedOn w:val="7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2">
    <w:name w:val="Plain Table 4"/>
    <w:basedOn w:val="7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Plain Table 5"/>
    <w:basedOn w:val="7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4">
    <w:name w:val="Grid Table 1 Light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Grid Table 1 Light - Accent 1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Grid Table 1 Light - Accent 2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Grid Table 1 Light - Accent 3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Grid Table 1 Light - Accent 4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Grid Table 1 Light - Accent 5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Grid Table 1 Light - Accent 6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Grid Table 2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2 - Accent 1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2 - Accent 2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2 - Accent 3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2 - Accent 4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2 - Accent 5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2 - Accent 6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3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3 - Accent 1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3 - Accent 2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3 - Accent 3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3 - Accent 4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3 - Accent 5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3 - Accent 6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4"/>
    <w:basedOn w:val="716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6" w:customStyle="1">
    <w:name w:val="Grid Table 4 - Accent 1"/>
    <w:basedOn w:val="716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87" w:customStyle="1">
    <w:name w:val="Grid Table 4 - Accent 2"/>
    <w:basedOn w:val="716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88" w:customStyle="1">
    <w:name w:val="Grid Table 4 - Accent 3"/>
    <w:basedOn w:val="716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89" w:customStyle="1">
    <w:name w:val="Grid Table 4 - Accent 4"/>
    <w:basedOn w:val="716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90" w:customStyle="1">
    <w:name w:val="Grid Table 4 - Accent 5"/>
    <w:basedOn w:val="716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91" w:customStyle="1">
    <w:name w:val="Grid Table 4 - Accent 6"/>
    <w:basedOn w:val="716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92">
    <w:name w:val="Grid Table 5 Dark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93" w:customStyle="1">
    <w:name w:val="Grid Table 5 Dark- Accent 1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94" w:customStyle="1">
    <w:name w:val="Grid Table 5 Dark - Accent 2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95" w:customStyle="1">
    <w:name w:val="Grid Table 5 Dark - Accent 3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96" w:customStyle="1">
    <w:name w:val="Grid Table 5 Dark- Accent 4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97" w:customStyle="1">
    <w:name w:val="Grid Table 5 Dark - Accent 5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98" w:customStyle="1">
    <w:name w:val="Grid Table 5 Dark - Accent 6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99">
    <w:name w:val="Grid Table 6 Colorful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Liberation Sans" w:hAnsi="Liberation Sans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0" w:customStyle="1">
    <w:name w:val="Grid Table 6 Colorful - Accent 1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Liberation Sans" w:hAnsi="Liberation Sans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01" w:customStyle="1">
    <w:name w:val="Grid Table 6 Colorful - Accent 2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Liberation Sans" w:hAnsi="Liberation Sans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02" w:customStyle="1">
    <w:name w:val="Grid Table 6 Colorful - Accent 3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Liberation Sans" w:hAnsi="Liberation Sans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03" w:customStyle="1">
    <w:name w:val="Grid Table 6 Colorful - Accent 4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Liberation Sans" w:hAnsi="Liberation Sans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04" w:customStyle="1">
    <w:name w:val="Grid Table 6 Colorful - Accent 5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Liberation Sans" w:hAnsi="Liberation Sans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05" w:customStyle="1">
    <w:name w:val="Grid Table 6 Colorful - Accent 6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Liberation Sans" w:hAnsi="Liberation Sans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06">
    <w:name w:val="Grid Table 7 Colorful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Liberation Sans" w:hAnsi="Liberation Sans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7 Colorful - Accent 1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Liberation Sans" w:hAnsi="Liberation Sans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7 Colorful - Accent 2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Liberation Sans" w:hAnsi="Liberation Sans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7 Colorful - Accent 3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Liberation Sans" w:hAnsi="Liberation Sans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7 Colorful - Accent 4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Liberation Sans" w:hAnsi="Liberation Sans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7 Colorful - Accent 5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Liberation Sans" w:hAnsi="Liberation Sans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  <w:tblStylePr w:type="firstCol">
      <w:rPr>
        <w:rFonts w:ascii="Liberation Sans" w:hAnsi="Liberation Sans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7 Colorful - Accent 6"/>
    <w:basedOn w:val="71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Liberation Sans" w:hAnsi="Liberation Sans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416429" w:themeColor="accent6" w:themeShade="95"/>
        <w:sz w:val="22"/>
      </w:rPr>
    </w:tblStylePr>
    <w:tblStylePr w:type="firstCol">
      <w:rPr>
        <w:rFonts w:ascii="Liberation Sans" w:hAnsi="Liberation Sans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List Table 1 Light"/>
    <w:basedOn w:val="7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List Table 1 Light - Accent 1"/>
    <w:basedOn w:val="7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st Table 1 Light - Accent 2"/>
    <w:basedOn w:val="7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List Table 1 Light - Accent 3"/>
    <w:basedOn w:val="7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List Table 1 Light - Accent 4"/>
    <w:basedOn w:val="7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List Table 1 Light - Accent 5"/>
    <w:basedOn w:val="7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1 Light - Accent 6"/>
    <w:basedOn w:val="7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2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21" w:customStyle="1">
    <w:name w:val="List Table 2 - Accent 1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22" w:customStyle="1">
    <w:name w:val="List Table 2 - Accent 2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23" w:customStyle="1">
    <w:name w:val="List Table 2 - Accent 3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24" w:customStyle="1">
    <w:name w:val="List Table 2 - Accent 4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25" w:customStyle="1">
    <w:name w:val="List Table 2 - Accent 5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26" w:customStyle="1">
    <w:name w:val="List Table 2 - Accent 6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27">
    <w:name w:val="List Table 3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3 - Accent 1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3 - Accent 2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3 - Accent 3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3 - Accent 4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List Table 3 - Accent 5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3 - Accent 6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4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List Table 4 - Accent 1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4 - Accent 2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4 - Accent 3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4 - Accent 4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4 - Accent 5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4 - Accent 6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5 Dark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842" w:customStyle="1">
    <w:name w:val="List Table 5 Dark - Accent 1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843" w:customStyle="1">
    <w:name w:val="List Table 5 Dark - Accent 2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844" w:customStyle="1">
    <w:name w:val="List Table 5 Dark - Accent 3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845" w:customStyle="1">
    <w:name w:val="List Table 5 Dark - Accent 4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846" w:customStyle="1">
    <w:name w:val="List Table 5 Dark - Accent 5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847" w:customStyle="1">
    <w:name w:val="List Table 5 Dark - Accent 6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848">
    <w:name w:val="List Table 6 Colorful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Liberation Sans" w:hAnsi="Liberation Sans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49" w:customStyle="1">
    <w:name w:val="List Table 6 Colorful - Accent 1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Liberation Sans" w:hAnsi="Liberation Sans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50" w:customStyle="1">
    <w:name w:val="List Table 6 Colorful - Accent 2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Liberation Sans" w:hAnsi="Liberation Sans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51" w:customStyle="1">
    <w:name w:val="List Table 6 Colorful - Accent 3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Liberation Sans" w:hAnsi="Liberation Sans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52" w:customStyle="1">
    <w:name w:val="List Table 6 Colorful - Accent 4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Liberation Sans" w:hAnsi="Liberation Sans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53" w:customStyle="1">
    <w:name w:val="List Table 6 Colorful - Accent 5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Liberation Sans" w:hAnsi="Liberation Sans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54" w:customStyle="1">
    <w:name w:val="List Table 6 Colorful - Accent 6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Liberation Sans" w:hAnsi="Liberation Sans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55">
    <w:name w:val="List Table 7 Colorful"/>
    <w:basedOn w:val="71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Liberation Sans" w:hAnsi="Liberation Sans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List Table 7 Colorful - Accent 1"/>
    <w:basedOn w:val="71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Liberation Sans" w:hAnsi="Liberation Sans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  <w:tblStylePr w:type="firstCol">
      <w:rPr>
        <w:rFonts w:ascii="Liberation Sans" w:hAnsi="Liberation Sans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Liberation Sans" w:hAnsi="Liberation Sans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List Table 7 Colorful - Accent 2"/>
    <w:basedOn w:val="71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Liberation Sans" w:hAnsi="Liberation Sans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List Table 7 Colorful - Accent 3"/>
    <w:basedOn w:val="71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Liberation Sans" w:hAnsi="Liberation Sans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List Table 7 Colorful - Accent 4"/>
    <w:basedOn w:val="71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Liberation Sans" w:hAnsi="Liberation Sans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List Table 7 Colorful - Accent 5"/>
    <w:basedOn w:val="71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Liberation Sans" w:hAnsi="Liberation Sans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List Table 7 Colorful - Accent 6"/>
    <w:basedOn w:val="71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Liberation Sans" w:hAnsi="Liberation Sans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Lined - Accent"/>
    <w:basedOn w:val="7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3" w:customStyle="1">
    <w:name w:val="Lined - Accent 1"/>
    <w:basedOn w:val="7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64" w:customStyle="1">
    <w:name w:val="Lined - Accent 2"/>
    <w:basedOn w:val="7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65" w:customStyle="1">
    <w:name w:val="Lined - Accent 3"/>
    <w:basedOn w:val="7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66" w:customStyle="1">
    <w:name w:val="Lined - Accent 4"/>
    <w:basedOn w:val="7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67" w:customStyle="1">
    <w:name w:val="Lined - Accent 5"/>
    <w:basedOn w:val="7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68" w:customStyle="1">
    <w:name w:val="Lined - Accent 6"/>
    <w:basedOn w:val="7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69" w:customStyle="1">
    <w:name w:val="Bordered &amp; Lined - Accent"/>
    <w:basedOn w:val="7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0" w:customStyle="1">
    <w:name w:val="Bordered &amp; Lined - Accent 1"/>
    <w:basedOn w:val="7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71" w:customStyle="1">
    <w:name w:val="Bordered &amp; Lined - Accent 2"/>
    <w:basedOn w:val="7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72" w:customStyle="1">
    <w:name w:val="Bordered &amp; Lined - Accent 3"/>
    <w:basedOn w:val="7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73" w:customStyle="1">
    <w:name w:val="Bordered &amp; Lined - Accent 4"/>
    <w:basedOn w:val="7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74" w:customStyle="1">
    <w:name w:val="Bordered &amp; Lined - Accent 5"/>
    <w:basedOn w:val="7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75" w:customStyle="1">
    <w:name w:val="Bordered &amp; Lined - Accent 6"/>
    <w:basedOn w:val="71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76" w:customStyle="1">
    <w:name w:val="Bordered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77" w:customStyle="1">
    <w:name w:val="Bordered - Accent 1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78" w:customStyle="1">
    <w:name w:val="Bordered - Accent 2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79" w:customStyle="1">
    <w:name w:val="Bordered - Accent 3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80" w:customStyle="1">
    <w:name w:val="Bordered - Accent 4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81" w:customStyle="1">
    <w:name w:val="Bordered - Accent 5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82" w:customStyle="1">
    <w:name w:val="Bordered - Accent 6"/>
    <w:basedOn w:val="71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83">
    <w:name w:val="Hyperlink"/>
    <w:uiPriority w:val="99"/>
    <w:unhideWhenUsed/>
    <w:rPr>
      <w:color w:val="0563c1" w:themeColor="hyperlink"/>
      <w:u w:val="single"/>
    </w:rPr>
  </w:style>
  <w:style w:type="paragraph" w:styleId="884">
    <w:name w:val="footnote text"/>
    <w:basedOn w:val="705"/>
    <w:link w:val="885"/>
    <w:uiPriority w:val="99"/>
    <w:semiHidden/>
    <w:unhideWhenUsed/>
    <w:pPr>
      <w:spacing w:after="40" w:line="240" w:lineRule="auto"/>
    </w:pPr>
    <w:rPr>
      <w:sz w:val="18"/>
    </w:rPr>
  </w:style>
  <w:style w:type="character" w:styleId="885" w:customStyle="1">
    <w:name w:val="Текст сноски Знак"/>
    <w:link w:val="884"/>
    <w:uiPriority w:val="99"/>
    <w:rPr>
      <w:sz w:val="18"/>
    </w:rPr>
  </w:style>
  <w:style w:type="character" w:styleId="886">
    <w:name w:val="footnote reference"/>
    <w:basedOn w:val="715"/>
    <w:uiPriority w:val="99"/>
    <w:unhideWhenUsed/>
    <w:rPr>
      <w:vertAlign w:val="superscript"/>
    </w:rPr>
  </w:style>
  <w:style w:type="paragraph" w:styleId="887">
    <w:name w:val="endnote text"/>
    <w:basedOn w:val="705"/>
    <w:link w:val="888"/>
    <w:uiPriority w:val="99"/>
    <w:semiHidden/>
    <w:unhideWhenUsed/>
    <w:pPr>
      <w:spacing w:after="0" w:line="240" w:lineRule="auto"/>
    </w:pPr>
    <w:rPr>
      <w:sz w:val="20"/>
    </w:rPr>
  </w:style>
  <w:style w:type="character" w:styleId="888" w:customStyle="1">
    <w:name w:val="Текст концевой сноски Знак"/>
    <w:link w:val="887"/>
    <w:uiPriority w:val="99"/>
    <w:rPr>
      <w:sz w:val="20"/>
    </w:rPr>
  </w:style>
  <w:style w:type="character" w:styleId="889">
    <w:name w:val="endnote reference"/>
    <w:basedOn w:val="715"/>
    <w:uiPriority w:val="99"/>
    <w:semiHidden/>
    <w:unhideWhenUsed/>
    <w:rPr>
      <w:vertAlign w:val="superscript"/>
    </w:rPr>
  </w:style>
  <w:style w:type="paragraph" w:styleId="890">
    <w:name w:val="toc 1"/>
    <w:basedOn w:val="705"/>
    <w:next w:val="705"/>
    <w:uiPriority w:val="39"/>
    <w:unhideWhenUsed/>
    <w:pPr>
      <w:spacing w:after="57"/>
    </w:pPr>
  </w:style>
  <w:style w:type="paragraph" w:styleId="891">
    <w:name w:val="toc 2"/>
    <w:basedOn w:val="705"/>
    <w:next w:val="705"/>
    <w:uiPriority w:val="39"/>
    <w:unhideWhenUsed/>
    <w:pPr>
      <w:ind w:left="283"/>
      <w:spacing w:after="57"/>
    </w:pPr>
  </w:style>
  <w:style w:type="paragraph" w:styleId="892">
    <w:name w:val="toc 3"/>
    <w:basedOn w:val="705"/>
    <w:next w:val="705"/>
    <w:uiPriority w:val="39"/>
    <w:unhideWhenUsed/>
    <w:pPr>
      <w:ind w:left="567"/>
      <w:spacing w:after="57"/>
    </w:pPr>
  </w:style>
  <w:style w:type="paragraph" w:styleId="893">
    <w:name w:val="toc 4"/>
    <w:basedOn w:val="705"/>
    <w:next w:val="705"/>
    <w:uiPriority w:val="39"/>
    <w:unhideWhenUsed/>
    <w:pPr>
      <w:ind w:left="850"/>
      <w:spacing w:after="57"/>
    </w:pPr>
  </w:style>
  <w:style w:type="paragraph" w:styleId="894">
    <w:name w:val="toc 5"/>
    <w:basedOn w:val="705"/>
    <w:next w:val="705"/>
    <w:uiPriority w:val="39"/>
    <w:unhideWhenUsed/>
    <w:pPr>
      <w:ind w:left="1134"/>
      <w:spacing w:after="57"/>
    </w:pPr>
  </w:style>
  <w:style w:type="paragraph" w:styleId="895">
    <w:name w:val="toc 6"/>
    <w:basedOn w:val="705"/>
    <w:next w:val="705"/>
    <w:uiPriority w:val="39"/>
    <w:unhideWhenUsed/>
    <w:pPr>
      <w:ind w:left="1417"/>
      <w:spacing w:after="57"/>
    </w:pPr>
  </w:style>
  <w:style w:type="paragraph" w:styleId="896">
    <w:name w:val="toc 7"/>
    <w:basedOn w:val="705"/>
    <w:next w:val="705"/>
    <w:uiPriority w:val="39"/>
    <w:unhideWhenUsed/>
    <w:pPr>
      <w:ind w:left="1701"/>
      <w:spacing w:after="57"/>
    </w:pPr>
  </w:style>
  <w:style w:type="paragraph" w:styleId="897">
    <w:name w:val="toc 8"/>
    <w:basedOn w:val="705"/>
    <w:next w:val="705"/>
    <w:uiPriority w:val="39"/>
    <w:unhideWhenUsed/>
    <w:pPr>
      <w:ind w:left="1984"/>
      <w:spacing w:after="57"/>
    </w:pPr>
  </w:style>
  <w:style w:type="paragraph" w:styleId="898">
    <w:name w:val="toc 9"/>
    <w:basedOn w:val="705"/>
    <w:next w:val="705"/>
    <w:uiPriority w:val="39"/>
    <w:unhideWhenUsed/>
    <w:pPr>
      <w:ind w:left="2268"/>
      <w:spacing w:after="57"/>
    </w:pPr>
  </w:style>
  <w:style w:type="paragraph" w:styleId="899">
    <w:name w:val="TOC Heading"/>
    <w:uiPriority w:val="39"/>
    <w:unhideWhenUsed/>
  </w:style>
  <w:style w:type="paragraph" w:styleId="900">
    <w:name w:val="table of figures"/>
    <w:basedOn w:val="705"/>
    <w:next w:val="705"/>
    <w:uiPriority w:val="99"/>
    <w:unhideWhenUsed/>
    <w:pPr>
      <w:spacing w:after="0"/>
    </w:pPr>
  </w:style>
  <w:style w:type="paragraph" w:styleId="901" w:customStyle="1">
    <w:name w:val="ConsPlusNormal"/>
    <w:pPr>
      <w:spacing w:after="0" w:line="240" w:lineRule="auto"/>
      <w:widowControl w:val="off"/>
    </w:pPr>
    <w:rPr>
      <w:rFonts w:ascii="Arial" w:hAnsi="Arial" w:eastAsia="Times New Roman" w:cs="Arial"/>
      <w:sz w:val="20"/>
      <w:lang w:eastAsia="ru-RU"/>
    </w:rPr>
  </w:style>
  <w:style w:type="paragraph" w:styleId="902" w:customStyle="1">
    <w:name w:val="ConsPlusTitle"/>
    <w:pPr>
      <w:spacing w:after="0" w:line="240" w:lineRule="auto"/>
      <w:widowControl w:val="off"/>
    </w:pPr>
    <w:rPr>
      <w:rFonts w:ascii="Arial" w:hAnsi="Arial" w:eastAsia="Times New Roman" w:cs="Arial"/>
      <w:b/>
      <w:sz w:val="20"/>
      <w:lang w:eastAsia="ru-RU"/>
    </w:rPr>
  </w:style>
  <w:style w:type="character" w:styleId="903">
    <w:name w:val="annotation reference"/>
    <w:basedOn w:val="715"/>
    <w:uiPriority w:val="99"/>
    <w:semiHidden/>
    <w:unhideWhenUsed/>
    <w:rPr>
      <w:sz w:val="16"/>
      <w:szCs w:val="16"/>
    </w:rPr>
  </w:style>
  <w:style w:type="paragraph" w:styleId="904">
    <w:name w:val="annotation text"/>
    <w:basedOn w:val="705"/>
    <w:link w:val="905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05" w:customStyle="1">
    <w:name w:val="Текст примечания Знак"/>
    <w:basedOn w:val="715"/>
    <w:link w:val="904"/>
    <w:uiPriority w:val="99"/>
    <w:semiHidden/>
    <w:rPr>
      <w:rFonts w:ascii="Calibri" w:hAnsi="Calibri" w:eastAsia="Calibri" w:cs="Times New Roman"/>
      <w:sz w:val="20"/>
      <w:szCs w:val="20"/>
    </w:rPr>
  </w:style>
  <w:style w:type="paragraph" w:styleId="906">
    <w:name w:val="annotation subject"/>
    <w:basedOn w:val="904"/>
    <w:next w:val="904"/>
    <w:link w:val="907"/>
    <w:uiPriority w:val="99"/>
    <w:semiHidden/>
    <w:unhideWhenUsed/>
    <w:rPr>
      <w:b/>
      <w:bCs/>
    </w:rPr>
  </w:style>
  <w:style w:type="character" w:styleId="907" w:customStyle="1">
    <w:name w:val="Тема примечания Знак"/>
    <w:basedOn w:val="905"/>
    <w:link w:val="906"/>
    <w:uiPriority w:val="99"/>
    <w:semiHidden/>
    <w:rPr>
      <w:rFonts w:ascii="Calibri" w:hAnsi="Calibri" w:eastAsia="Calibri" w:cs="Times New Roman"/>
      <w:b/>
      <w:bCs/>
      <w:sz w:val="20"/>
      <w:szCs w:val="20"/>
    </w:rPr>
  </w:style>
  <w:style w:type="paragraph" w:styleId="908">
    <w:name w:val="Balloon Text"/>
    <w:basedOn w:val="705"/>
    <w:link w:val="90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909" w:customStyle="1">
    <w:name w:val="Текст выноски Знак"/>
    <w:basedOn w:val="715"/>
    <w:link w:val="908"/>
    <w:uiPriority w:val="99"/>
    <w:semiHidden/>
    <w:rPr>
      <w:rFonts w:ascii="Segoe UI" w:hAnsi="Segoe UI" w:eastAsia="Calibri" w:cs="Segoe UI"/>
      <w:sz w:val="18"/>
      <w:szCs w:val="18"/>
    </w:rPr>
  </w:style>
  <w:style w:type="paragraph" w:styleId="910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911">
    <w:name w:val="Header"/>
    <w:basedOn w:val="705"/>
    <w:link w:val="91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12" w:customStyle="1">
    <w:name w:val="Верхний колонтитул Знак"/>
    <w:basedOn w:val="715"/>
    <w:link w:val="911"/>
    <w:uiPriority w:val="99"/>
    <w:rPr>
      <w:rFonts w:ascii="Calibri" w:hAnsi="Calibri" w:eastAsia="Calibri" w:cs="Times New Roman"/>
    </w:rPr>
  </w:style>
  <w:style w:type="paragraph" w:styleId="913">
    <w:name w:val="Footer"/>
    <w:basedOn w:val="705"/>
    <w:link w:val="914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14" w:customStyle="1">
    <w:name w:val="Нижний колонтитул Знак"/>
    <w:basedOn w:val="715"/>
    <w:link w:val="913"/>
    <w:rPr>
      <w:rFonts w:ascii="Calibri" w:hAnsi="Calibri" w:eastAsia="Calibri" w:cs="Times New Roma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08E58-EA67-4988-8BBF-2DB6C319C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Anikina</dc:creator>
  <cp:keywords/>
  <dc:description/>
  <cp:lastModifiedBy>Anikina</cp:lastModifiedBy>
  <cp:revision>84</cp:revision>
  <dcterms:created xsi:type="dcterms:W3CDTF">2023-12-27T09:39:00Z</dcterms:created>
  <dcterms:modified xsi:type="dcterms:W3CDTF">2026-06-26T02:45:49Z</dcterms:modified>
</cp:coreProperties>
</file>